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附件1  </w:t>
      </w:r>
    </w:p>
    <w:p>
      <w:pPr>
        <w:snapToGrid w:val="0"/>
        <w:spacing w:line="360" w:lineRule="auto"/>
        <w:jc w:val="center"/>
        <w:rPr>
          <w:rFonts w:ascii="仿宋_GB2312" w:eastAsia="仿宋_GB2312" w:hAnsiTheme="majorEastAsia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 w:hAnsiTheme="majorEastAsia"/>
          <w:b/>
          <w:sz w:val="36"/>
          <w:szCs w:val="36"/>
        </w:rPr>
        <w:t>首都医科大学</w:t>
      </w:r>
      <w:r>
        <w:rPr>
          <w:rFonts w:hint="eastAsia" w:ascii="仿宋_GB2312" w:eastAsia="仿宋_GB2312" w:hAnsiTheme="majorEastAsia"/>
          <w:b/>
          <w:sz w:val="36"/>
          <w:szCs w:val="36"/>
          <w:lang w:eastAsia="zh-CN"/>
        </w:rPr>
        <w:t>北京康复医学院</w:t>
      </w:r>
      <w:r>
        <w:rPr>
          <w:rFonts w:hint="eastAsia" w:ascii="仿宋_GB2312" w:eastAsia="仿宋_GB2312" w:hAnsiTheme="majorEastAsia"/>
          <w:b/>
          <w:sz w:val="36"/>
          <w:szCs w:val="36"/>
        </w:rPr>
        <w:t>202</w:t>
      </w:r>
      <w:r>
        <w:rPr>
          <w:rFonts w:hint="eastAsia" w:ascii="仿宋_GB2312" w:eastAsia="仿宋_GB2312" w:hAnsiTheme="majorEastAsia"/>
          <w:b/>
          <w:sz w:val="36"/>
          <w:szCs w:val="36"/>
          <w:lang w:val="en-US" w:eastAsia="zh-CN"/>
        </w:rPr>
        <w:t>3</w:t>
      </w:r>
      <w:r>
        <w:rPr>
          <w:rFonts w:hint="eastAsia" w:ascii="仿宋_GB2312" w:eastAsia="仿宋_GB2312" w:hAnsiTheme="majorEastAsia"/>
          <w:b/>
          <w:sz w:val="36"/>
          <w:szCs w:val="36"/>
        </w:rPr>
        <w:t>年博士“申请-考核”制</w:t>
      </w:r>
    </w:p>
    <w:p>
      <w:pPr>
        <w:snapToGrid w:val="0"/>
        <w:spacing w:line="360" w:lineRule="auto"/>
        <w:jc w:val="center"/>
        <w:rPr>
          <w:rFonts w:ascii="仿宋_GB2312" w:eastAsia="仿宋_GB2312" w:hAnsiTheme="majorEastAsia"/>
          <w:b/>
          <w:sz w:val="36"/>
          <w:szCs w:val="36"/>
        </w:rPr>
      </w:pPr>
      <w:r>
        <w:rPr>
          <w:rFonts w:hint="eastAsia" w:ascii="仿宋_GB2312" w:eastAsia="仿宋_GB2312" w:hAnsiTheme="majorEastAsia"/>
          <w:b/>
          <w:sz w:val="36"/>
          <w:szCs w:val="36"/>
        </w:rPr>
        <w:t>资格审查评分细则</w:t>
      </w:r>
    </w:p>
    <w:bookmarkEnd w:id="0"/>
    <w:p>
      <w:pPr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资格审查总分=材料基础分（10分）+科研成果得分(分数无上限)+其他表现得分（上限10分）</w:t>
      </w:r>
    </w:p>
    <w:p>
      <w:pPr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一、材料基础分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纸质版材料、电子版材料是否按照要求（命名方式、材料格式等）提供，满分10分，出现一处错误扣1分，扣完为止。</w:t>
      </w:r>
    </w:p>
    <w:p>
      <w:pPr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二、材料审核评分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包括科研成果（发表论文、主持/参与科研项目、专著、专利等）和其他表现（各类获奖、社会任职情况等），具体得分说明如下表：</w:t>
      </w:r>
    </w:p>
    <w:p>
      <w:pPr>
        <w:snapToGrid w:val="0"/>
        <w:spacing w:line="360" w:lineRule="auto"/>
        <w:ind w:firstLine="562" w:firstLineChars="200"/>
        <w:jc w:val="center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材料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得分说明</w:t>
      </w:r>
    </w:p>
    <w:tbl>
      <w:tblPr>
        <w:tblStyle w:val="2"/>
        <w:tblW w:w="45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92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加分上限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发表</w:t>
            </w:r>
          </w:p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论文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以第一作者/共同第一作者发表的中英文论文。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/>
                <w:kern w:val="0"/>
                <w:sz w:val="24"/>
              </w:rPr>
              <w:fldChar w:fldCharType="begin"/>
            </w:r>
            <w:r>
              <w:rPr>
                <w:rFonts w:ascii="仿宋_GB2312" w:hAnsi="仿宋" w:eastAsia="仿宋_GB2312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instrText xml:space="preserve">= 1 \* GB3</w:instrText>
            </w:r>
            <w:r>
              <w:rPr>
                <w:rFonts w:ascii="仿宋_GB2312" w:hAnsi="仿宋" w:eastAsia="仿宋_GB2312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" w:eastAsia="仿宋_GB2312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①</w:t>
            </w:r>
            <w:r>
              <w:rPr>
                <w:rFonts w:ascii="仿宋_GB2312" w:hAnsi="仿宋" w:eastAsia="仿宋_GB2312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英文论文以JCR收录目录为准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② 中文论文以首都医科大学图书馆网站公布的核心期刊目录为准，查询网址：</w:t>
            </w:r>
            <w:r>
              <w:rPr>
                <w:rFonts w:ascii="仿宋_GB2312" w:hAnsi="仿宋" w:eastAsia="仿宋_GB2312"/>
                <w:kern w:val="0"/>
                <w:sz w:val="24"/>
              </w:rPr>
              <w:t>http://sfx-86ali.hosted.exlibrisgroup.com/index.html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③ 其他非核心期刊及会议论文集不加分。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④ SCI论文必须是公开发表（含网络在线发表及接收函），中文核心期刊文章必须正式发表。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编译</w:t>
            </w:r>
          </w:p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专著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编译专著领域须与本人所在学科相关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发明</w:t>
            </w:r>
          </w:p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专利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发明专利须与本人所在学科相关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其他</w:t>
            </w:r>
          </w:p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表现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①在学期间获得的各项奖励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②各项社会任职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③其他能证明本人能力的材料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10分</w:t>
            </w:r>
          </w:p>
        </w:tc>
      </w:tr>
    </w:tbl>
    <w:p>
      <w:pPr>
        <w:ind w:left="960" w:hanging="960" w:hangingChars="4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kern w:val="0"/>
          <w:sz w:val="24"/>
        </w:rPr>
        <w:t>备注：</w:t>
      </w:r>
      <w:r>
        <w:rPr>
          <w:rFonts w:hint="eastAsia" w:ascii="仿宋_GB2312" w:hAnsi="仿宋" w:eastAsia="仿宋_GB2312"/>
          <w:sz w:val="24"/>
          <w:szCs w:val="24"/>
        </w:rPr>
        <w:t>未按要求提交证明材料的项目，一律不予加分。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13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4"/>
        <w:gridCol w:w="2968"/>
        <w:gridCol w:w="3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材料加分标准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以第一作者：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①发表SCI JCR 1区文章，每篇加4.0分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②发表SCIJCR2区文章，每篇加3.5分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③发表SCI JCR 3区文章，每篇加3.0分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④发表SCI JCR4区文章，每篇加2.5分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⑤发表被SSCI收录的文章，每篇加2.0分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⑥发表被EI收录的文章，每篇加2.0分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⑦在中文核心期刊上发表论著类文章，每篇加1.0分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⑧在中文核心期刊上发表综述、病例报告、个案类文章，每篇加0.3分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其他非核心期刊及会议论文集不加分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备注：共同第一作者每篇加分减半。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申请专利：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①授权专利：发明专利加2.0分，实用新型专利加1.5分，外观专利加1.0分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②登记软件著作权：加1.0分。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备注：学生是第一或导师是第一、学生是第二申请人时可以加分。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编译专著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专著：主编(译)加2.0分，副主编(译)加1.5分，参编(译)加l.0分，其他参与(书中有明确说明)加0.5分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VjYjRiZmIyZWM5OTBjOTYxZTY4NWVkZjJjNDkifQ=="/>
  </w:docVars>
  <w:rsids>
    <w:rsidRoot w:val="5AFE0299"/>
    <w:rsid w:val="5A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2022-10-27T07:17:00Z</dcterms:created>
  <dc:creator>๑</dc:creator>
  <cp:lastModifiedBy>๑</cp:lastModifiedBy>
  <dcterms:modified xsi:type="dcterms:W3CDTF">2022-10-27T07:40:30Z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6D7F21DA8A3544B8841371D8E2D02DE2</vt:lpwstr>
  </property>
</Properties>
</file>